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F0BF" w14:textId="1B88DD5B" w:rsidR="00B97703" w:rsidRDefault="004E3939" w:rsidP="00D4597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D4597D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D4597D">
        <w:rPr>
          <w:rFonts w:cs="Arial"/>
          <w:bCs/>
          <w:sz w:val="22"/>
          <w:szCs w:val="22"/>
        </w:rPr>
        <w:t>#4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4597D">
        <w:rPr>
          <w:rFonts w:cs="Arial"/>
          <w:noProof w:val="0"/>
          <w:sz w:val="22"/>
          <w:szCs w:val="22"/>
        </w:rPr>
        <w:t>#10</w:t>
      </w:r>
      <w:r w:rsidR="0042365A">
        <w:rPr>
          <w:rFonts w:cs="Arial"/>
          <w:noProof w:val="0"/>
          <w:sz w:val="22"/>
          <w:szCs w:val="22"/>
        </w:rPr>
        <w:t xml:space="preserve">7         </w:t>
      </w:r>
      <w:r w:rsidR="00D4597D">
        <w:rPr>
          <w:rFonts w:cs="Arial"/>
          <w:noProof w:val="0"/>
          <w:sz w:val="22"/>
          <w:szCs w:val="22"/>
        </w:rPr>
        <w:t xml:space="preserve">                                                </w:t>
      </w:r>
      <w:r w:rsidRPr="00DA53A0">
        <w:rPr>
          <w:rFonts w:cs="Arial"/>
          <w:bCs/>
          <w:sz w:val="22"/>
          <w:szCs w:val="22"/>
        </w:rPr>
        <w:tab/>
      </w:r>
      <w:r w:rsidR="00D4597D">
        <w:rPr>
          <w:rFonts w:cs="Arial"/>
          <w:bCs/>
          <w:sz w:val="22"/>
          <w:szCs w:val="22"/>
        </w:rPr>
        <w:t xml:space="preserve">         R4-230</w:t>
      </w:r>
      <w:r w:rsidR="00CC104B">
        <w:rPr>
          <w:rFonts w:cs="Arial"/>
          <w:bCs/>
          <w:sz w:val="22"/>
          <w:szCs w:val="22"/>
        </w:rPr>
        <w:t>8379</w:t>
      </w:r>
    </w:p>
    <w:p w14:paraId="07C6B07F" w14:textId="7BD721D8" w:rsidR="004E3939" w:rsidRPr="00DA53A0" w:rsidRDefault="00AB3A2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Incheon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South Korea,</w:t>
      </w:r>
      <w:r w:rsidR="004E3939" w:rsidRPr="00DA53A0">
        <w:rPr>
          <w:sz w:val="22"/>
          <w:szCs w:val="22"/>
        </w:rPr>
        <w:t xml:space="preserve"> </w:t>
      </w:r>
      <w:r w:rsidR="0042365A">
        <w:rPr>
          <w:sz w:val="22"/>
          <w:szCs w:val="22"/>
        </w:rPr>
        <w:t>May</w:t>
      </w:r>
      <w:r w:rsidR="00D4597D">
        <w:rPr>
          <w:sz w:val="22"/>
          <w:szCs w:val="22"/>
        </w:rPr>
        <w:t xml:space="preserve"> </w:t>
      </w:r>
      <w:r w:rsidR="0042365A">
        <w:rPr>
          <w:sz w:val="22"/>
          <w:szCs w:val="22"/>
        </w:rPr>
        <w:t>22</w:t>
      </w:r>
      <w:r w:rsidR="00CB273B">
        <w:rPr>
          <w:sz w:val="22"/>
          <w:szCs w:val="22"/>
          <w:vertAlign w:val="superscript"/>
        </w:rPr>
        <w:t>nd</w:t>
      </w:r>
      <w:r w:rsidR="00D4597D">
        <w:rPr>
          <w:sz w:val="22"/>
          <w:szCs w:val="22"/>
        </w:rPr>
        <w:t xml:space="preserve"> – 26</w:t>
      </w:r>
      <w:r w:rsidR="00D4597D" w:rsidRPr="00D4597D">
        <w:rPr>
          <w:sz w:val="22"/>
          <w:szCs w:val="22"/>
          <w:vertAlign w:val="superscript"/>
        </w:rPr>
        <w:t>th</w:t>
      </w:r>
      <w:r w:rsidR="00D4597D">
        <w:rPr>
          <w:sz w:val="22"/>
          <w:szCs w:val="22"/>
        </w:rPr>
        <w:t>, 2023</w:t>
      </w:r>
    </w:p>
    <w:p w14:paraId="6C6DBB32" w14:textId="77777777" w:rsidR="00B97703" w:rsidRDefault="00B97703">
      <w:pPr>
        <w:rPr>
          <w:rFonts w:ascii="Arial" w:hAnsi="Arial" w:cs="Arial"/>
        </w:rPr>
      </w:pPr>
    </w:p>
    <w:p w14:paraId="48B35CCF" w14:textId="2B0AB3B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34398">
        <w:rPr>
          <w:rFonts w:ascii="Arial" w:hAnsi="Arial" w:cs="Arial"/>
          <w:b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34398">
        <w:rPr>
          <w:rFonts w:ascii="Arial" w:hAnsi="Arial" w:cs="Arial"/>
          <w:b/>
          <w:sz w:val="22"/>
          <w:szCs w:val="22"/>
        </w:rPr>
        <w:t>intra-band EN-DC support</w:t>
      </w:r>
    </w:p>
    <w:p w14:paraId="1ED22796" w14:textId="6EAA29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Rel-16</w:t>
      </w:r>
    </w:p>
    <w:bookmarkEnd w:id="3"/>
    <w:bookmarkEnd w:id="4"/>
    <w:bookmarkEnd w:id="5"/>
    <w:p w14:paraId="7F456567" w14:textId="110097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4501E4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0A72972" w14:textId="6352261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34398">
        <w:rPr>
          <w:rFonts w:ascii="Arial" w:hAnsi="Arial" w:cs="Arial"/>
          <w:b/>
          <w:sz w:val="22"/>
          <w:szCs w:val="22"/>
        </w:rPr>
        <w:t>RAN4</w:t>
      </w:r>
    </w:p>
    <w:p w14:paraId="17EDBA1B" w14:textId="0323C4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RAN2</w:t>
      </w:r>
    </w:p>
    <w:p w14:paraId="1609606C" w14:textId="010C79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0C4D51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2ED21B" w14:textId="122B51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Aijun CAO</w:t>
      </w:r>
    </w:p>
    <w:p w14:paraId="113F22FD" w14:textId="5A01259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Aijun.cao@mediatek.com</w:t>
      </w:r>
    </w:p>
    <w:p w14:paraId="3E2E0656" w14:textId="790CFE9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6B5D8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4C65C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E8790D" w14:textId="029062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78BCB1" w14:textId="77777777" w:rsidR="00B97703" w:rsidRDefault="00B97703">
      <w:pPr>
        <w:rPr>
          <w:rFonts w:ascii="Arial" w:hAnsi="Arial" w:cs="Arial"/>
        </w:rPr>
      </w:pPr>
    </w:p>
    <w:p w14:paraId="21EBAB6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EF49647" w14:textId="42AAA49B" w:rsidR="00B97703" w:rsidRDefault="001F1B27" w:rsidP="000F6242">
      <w:r w:rsidRPr="001F1B27">
        <w:t>RAN4</w:t>
      </w:r>
      <w:r>
        <w:t xml:space="preserve"> continues discussion on the intra-band EN-DC support in RAN4#107, and reached the following consensus:</w:t>
      </w:r>
    </w:p>
    <w:p w14:paraId="793C62F8" w14:textId="5E7991F2" w:rsidR="001F1B27" w:rsidRDefault="001F1B27" w:rsidP="001F1B27">
      <w:r>
        <w:t xml:space="preserve">From RAN4’s perspective the configurations </w:t>
      </w:r>
      <w:r w:rsidR="00FE586F">
        <w:t xml:space="preserve">for intra-band EN-DC </w:t>
      </w:r>
      <w:r>
        <w:t>can be grouped into three sets:</w:t>
      </w:r>
    </w:p>
    <w:p w14:paraId="1CADB0F8" w14:textId="5E518EA3" w:rsidR="001F1B27" w:rsidRDefault="001F1B27" w:rsidP="001F1B27">
      <w:pPr>
        <w:pStyle w:val="ListParagraph"/>
        <w:numPr>
          <w:ilvl w:val="0"/>
          <w:numId w:val="5"/>
        </w:numPr>
      </w:pPr>
      <w:r>
        <w:t>Config#1: the configuration set where both UL and DL are operated in a contiguous spectrum</w:t>
      </w:r>
    </w:p>
    <w:p w14:paraId="4E6ACAB9" w14:textId="79D9E225" w:rsidR="001F1B27" w:rsidRDefault="001F1B27" w:rsidP="001F1B27">
      <w:pPr>
        <w:pStyle w:val="ListParagraph"/>
        <w:numPr>
          <w:ilvl w:val="0"/>
          <w:numId w:val="5"/>
        </w:numPr>
      </w:pPr>
      <w:r>
        <w:t>Config#2: the configuration set where both UL and DL are operated in a non-contiguous spectrum</w:t>
      </w:r>
    </w:p>
    <w:p w14:paraId="0159E9CD" w14:textId="36C5AAF7" w:rsidR="001F1B27" w:rsidRDefault="001F1B27" w:rsidP="001F1B27">
      <w:pPr>
        <w:pStyle w:val="ListParagraph"/>
        <w:numPr>
          <w:ilvl w:val="0"/>
          <w:numId w:val="5"/>
        </w:numPr>
      </w:pPr>
      <w:r>
        <w:t>Config#3: the configuration set where UL and DL has different contiguity</w:t>
      </w:r>
    </w:p>
    <w:p w14:paraId="26F68A68" w14:textId="52F8CCD8" w:rsidR="001F1B27" w:rsidRDefault="001F1B27" w:rsidP="001F1B27">
      <w:r>
        <w:t xml:space="preserve">And </w:t>
      </w:r>
      <w:r w:rsidR="00A24F0C">
        <w:t xml:space="preserve">the network can interpret the reporting of the IE </w:t>
      </w:r>
      <w:r w:rsidR="00A24F0C" w:rsidRPr="001F1B27">
        <w:rPr>
          <w:i/>
          <w:iCs/>
        </w:rPr>
        <w:t>intraBandENDC-Support</w:t>
      </w:r>
      <w:r w:rsidR="00A24F0C">
        <w:t xml:space="preserve"> for intra-band EN-DC support as following:</w:t>
      </w:r>
    </w:p>
    <w:p w14:paraId="0BFF108C" w14:textId="0176AF74" w:rsidR="00A24F0C" w:rsidRDefault="006E45BA" w:rsidP="00A24F0C">
      <w:pPr>
        <w:pStyle w:val="ListParagraph"/>
        <w:numPr>
          <w:ilvl w:val="0"/>
          <w:numId w:val="5"/>
        </w:numPr>
      </w:pPr>
      <w:r>
        <w:rPr>
          <w:i/>
          <w:iCs/>
        </w:rPr>
        <w:t>“</w:t>
      </w:r>
      <w:r w:rsidRPr="006E45BA">
        <w:rPr>
          <w:i/>
          <w:iCs/>
        </w:rPr>
        <w:t>c</w:t>
      </w:r>
      <w:r w:rsidR="00A24F0C" w:rsidRPr="006E45BA">
        <w:rPr>
          <w:i/>
          <w:iCs/>
        </w:rPr>
        <w:t>ontiguous</w:t>
      </w:r>
      <w:r>
        <w:rPr>
          <w:i/>
          <w:iCs/>
        </w:rPr>
        <w:t>”</w:t>
      </w:r>
      <w:r w:rsidR="00A24F0C">
        <w:t>: it means the UE supports Config#1</w:t>
      </w:r>
    </w:p>
    <w:p w14:paraId="7A354D1D" w14:textId="586980F0" w:rsidR="00A24F0C" w:rsidRDefault="006E45BA" w:rsidP="00A24F0C">
      <w:pPr>
        <w:pStyle w:val="ListParagraph"/>
        <w:numPr>
          <w:ilvl w:val="0"/>
          <w:numId w:val="5"/>
        </w:numPr>
      </w:pPr>
      <w:r>
        <w:rPr>
          <w:i/>
          <w:iCs/>
        </w:rPr>
        <w:t>“</w:t>
      </w:r>
      <w:r w:rsidRPr="006E45BA">
        <w:rPr>
          <w:i/>
          <w:iCs/>
        </w:rPr>
        <w:t>n</w:t>
      </w:r>
      <w:r w:rsidR="00A24F0C" w:rsidRPr="006E45BA">
        <w:rPr>
          <w:i/>
          <w:iCs/>
        </w:rPr>
        <w:t>on-contiguous</w:t>
      </w:r>
      <w:r>
        <w:rPr>
          <w:i/>
          <w:iCs/>
        </w:rPr>
        <w:t>”</w:t>
      </w:r>
      <w:r w:rsidR="00A24F0C">
        <w:t>: it means the UE supports Config#2</w:t>
      </w:r>
    </w:p>
    <w:p w14:paraId="055F5C77" w14:textId="7AB5035E" w:rsidR="00A24F0C" w:rsidRDefault="006E45BA" w:rsidP="00A24F0C">
      <w:pPr>
        <w:pStyle w:val="ListParagraph"/>
        <w:numPr>
          <w:ilvl w:val="0"/>
          <w:numId w:val="5"/>
        </w:numPr>
      </w:pPr>
      <w:r w:rsidRPr="006E45BA">
        <w:rPr>
          <w:i/>
          <w:iCs/>
        </w:rPr>
        <w:t>“b</w:t>
      </w:r>
      <w:r w:rsidR="00A24F0C" w:rsidRPr="006E45BA">
        <w:rPr>
          <w:i/>
          <w:iCs/>
        </w:rPr>
        <w:t>oth</w:t>
      </w:r>
      <w:r w:rsidRPr="006E45BA">
        <w:rPr>
          <w:i/>
          <w:iCs/>
        </w:rPr>
        <w:t>”</w:t>
      </w:r>
      <w:r w:rsidR="00A24F0C">
        <w:t>: it means the UE supports Config#1, Config#2 and Config#3.</w:t>
      </w:r>
    </w:p>
    <w:p w14:paraId="38BA8DAA" w14:textId="78E0D8FC" w:rsidR="00A24F0C" w:rsidRPr="001F1B27" w:rsidRDefault="00A24F0C" w:rsidP="001F1B27">
      <w:r>
        <w:t>RAN4 has also revise</w:t>
      </w:r>
      <w:r w:rsidR="00FE586F">
        <w:t>d</w:t>
      </w:r>
      <w:r>
        <w:t xml:space="preserve"> the corresponding sub-clauses in TS 38.101-3 to reflect the above agreements.</w:t>
      </w:r>
    </w:p>
    <w:p w14:paraId="5835EA6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989637" w14:textId="55CE5FA9" w:rsidR="00A24F0C" w:rsidRPr="001926DC" w:rsidRDefault="00B97703" w:rsidP="001926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24F0C">
        <w:rPr>
          <w:rFonts w:ascii="Arial" w:hAnsi="Arial" w:cs="Arial"/>
          <w:b/>
        </w:rPr>
        <w:t>RAN2</w:t>
      </w:r>
      <w:r w:rsidR="001926DC">
        <w:rPr>
          <w:rFonts w:ascii="Arial" w:hAnsi="Arial" w:cs="Arial"/>
          <w:b/>
        </w:rPr>
        <w:t>:</w:t>
      </w:r>
      <w:r w:rsidRPr="000F6242">
        <w:rPr>
          <w:rFonts w:ascii="Arial" w:hAnsi="Arial" w:cs="Arial"/>
          <w:b/>
          <w:color w:val="0070C0"/>
        </w:rPr>
        <w:tab/>
      </w:r>
    </w:p>
    <w:p w14:paraId="1061F746" w14:textId="469FF63E" w:rsidR="00A24F0C" w:rsidRPr="00A24F0C" w:rsidRDefault="00A24F0C" w:rsidP="00A24F0C">
      <w:r w:rsidRPr="00A24F0C">
        <w:t xml:space="preserve">RAN4 respectfully asks RAN2 to take the above into consideration for IE </w:t>
      </w:r>
      <w:r w:rsidRPr="00A24F0C">
        <w:rPr>
          <w:i/>
          <w:iCs/>
        </w:rPr>
        <w:t>intraBandENDC-Support</w:t>
      </w:r>
      <w:r w:rsidRPr="00A24F0C">
        <w:t xml:space="preserve"> in UE capability.</w:t>
      </w:r>
    </w:p>
    <w:p w14:paraId="4A5CC580" w14:textId="3AAC03B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50D6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6750D6">
        <w:rPr>
          <w:rFonts w:cs="Arial"/>
          <w:bCs/>
          <w:szCs w:val="36"/>
        </w:rPr>
        <w:t>#4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11978A" w14:textId="0752F405" w:rsidR="002F1940" w:rsidRDefault="006750D6" w:rsidP="002F1940">
      <w:bookmarkStart w:id="8" w:name="OLE_LINK55"/>
      <w:bookmarkStart w:id="9" w:name="OLE_LINK56"/>
      <w:bookmarkStart w:id="10" w:name="OLE_LINK53"/>
      <w:bookmarkStart w:id="11" w:name="OLE_LINK54"/>
      <w:r>
        <w:t>RAN4#108</w:t>
      </w:r>
      <w:r w:rsidR="002F1940">
        <w:tab/>
      </w:r>
      <w:r>
        <w:t>Aug 21</w:t>
      </w:r>
      <w:r w:rsidRPr="006750D6">
        <w:rPr>
          <w:vertAlign w:val="superscript"/>
        </w:rPr>
        <w:t>st</w:t>
      </w:r>
      <w:r>
        <w:t xml:space="preserve"> –</w:t>
      </w:r>
      <w:r w:rsidR="002F1940">
        <w:t xml:space="preserve"> </w:t>
      </w:r>
      <w:r>
        <w:t>25</w:t>
      </w:r>
      <w:r w:rsidRPr="006750D6">
        <w:rPr>
          <w:vertAlign w:val="superscript"/>
        </w:rPr>
        <w:t>th</w:t>
      </w:r>
      <w:r>
        <w:t xml:space="preserve"> </w:t>
      </w:r>
      <w:r w:rsidR="002F1940">
        <w:tab/>
      </w:r>
      <w:r>
        <w:t>Toulouse</w:t>
      </w:r>
      <w:r w:rsidR="002F1940">
        <w:t xml:space="preserve">, </w:t>
      </w:r>
      <w:bookmarkEnd w:id="8"/>
      <w:bookmarkEnd w:id="9"/>
      <w:r>
        <w:t>France</w:t>
      </w:r>
    </w:p>
    <w:bookmarkEnd w:id="10"/>
    <w:bookmarkEnd w:id="11"/>
    <w:p w14:paraId="2A2A3FCF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D0EC9" w14:textId="77777777" w:rsidR="00342A3A" w:rsidRDefault="00342A3A">
      <w:pPr>
        <w:spacing w:after="0"/>
      </w:pPr>
      <w:r>
        <w:separator/>
      </w:r>
    </w:p>
  </w:endnote>
  <w:endnote w:type="continuationSeparator" w:id="0">
    <w:p w14:paraId="13E9B848" w14:textId="77777777" w:rsidR="00342A3A" w:rsidRDefault="00342A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D6541" w14:textId="77777777" w:rsidR="00342A3A" w:rsidRDefault="00342A3A">
      <w:pPr>
        <w:spacing w:after="0"/>
      </w:pPr>
      <w:r>
        <w:separator/>
      </w:r>
    </w:p>
  </w:footnote>
  <w:footnote w:type="continuationSeparator" w:id="0">
    <w:p w14:paraId="2CF0D620" w14:textId="77777777" w:rsidR="00342A3A" w:rsidRDefault="00342A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4FB1372"/>
    <w:multiLevelType w:val="hybridMultilevel"/>
    <w:tmpl w:val="53660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926DC"/>
    <w:rsid w:val="001F1B27"/>
    <w:rsid w:val="002F1940"/>
    <w:rsid w:val="00342A3A"/>
    <w:rsid w:val="00383545"/>
    <w:rsid w:val="0042365A"/>
    <w:rsid w:val="00433500"/>
    <w:rsid w:val="00433F71"/>
    <w:rsid w:val="00440D43"/>
    <w:rsid w:val="004C37C4"/>
    <w:rsid w:val="004E3939"/>
    <w:rsid w:val="006750D6"/>
    <w:rsid w:val="006E45BA"/>
    <w:rsid w:val="007F4F92"/>
    <w:rsid w:val="008D772F"/>
    <w:rsid w:val="009309F9"/>
    <w:rsid w:val="0099764C"/>
    <w:rsid w:val="00A24F0C"/>
    <w:rsid w:val="00AB3A2E"/>
    <w:rsid w:val="00B97703"/>
    <w:rsid w:val="00CB273B"/>
    <w:rsid w:val="00CC104B"/>
    <w:rsid w:val="00CF6087"/>
    <w:rsid w:val="00D4597D"/>
    <w:rsid w:val="00D918CF"/>
    <w:rsid w:val="00E2111E"/>
    <w:rsid w:val="00F34398"/>
    <w:rsid w:val="00FE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0C826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F1B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242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Aijun Cao</cp:lastModifiedBy>
  <cp:revision>11</cp:revision>
  <cp:lastPrinted>2002-04-23T07:10:00Z</cp:lastPrinted>
  <dcterms:created xsi:type="dcterms:W3CDTF">2023-05-07T14:42:00Z</dcterms:created>
  <dcterms:modified xsi:type="dcterms:W3CDTF">2023-05-15T10:34:00Z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2023-05-15T10:34:16Z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0485ffc1-3010-4500-a00a-b28d84492d26</vt:lpwstr>
  </property>
  <property fmtid="{D5CDD505-2E9C-101B-9397-08002B2CF9AE}" pid="8" name="MSIP_Label_83bcef13-7cac-433f-ba1d-47a323951816_ContentBits">
    <vt:lpwstr>0</vt:lpwstr>
  </property>
</Properties>
</file>